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D8" w:rsidRPr="007F474B" w:rsidRDefault="007F474B" w:rsidP="008F4D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OBRAZLOŽENJE</w:t>
      </w:r>
    </w:p>
    <w:p w:rsidR="006412D8" w:rsidRPr="007F474B" w:rsidRDefault="006412D8" w:rsidP="008F4D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12D8" w:rsidRPr="007F474B" w:rsidRDefault="006412D8" w:rsidP="008F4D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12D8" w:rsidRPr="007F474B" w:rsidRDefault="000660E0" w:rsidP="008F4D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USTAVNI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</w:p>
    <w:p w:rsidR="006412D8" w:rsidRPr="007F474B" w:rsidRDefault="006412D8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12D8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6412D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12D8" w:rsidRPr="007F474B" w:rsidRDefault="006412D8" w:rsidP="008F4D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12D8" w:rsidRPr="007F474B" w:rsidRDefault="006412D8" w:rsidP="008F4D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12D8" w:rsidRPr="007F474B" w:rsidRDefault="000660E0" w:rsidP="008F4D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6412D8" w:rsidRPr="007F474B" w:rsidRDefault="006412D8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313A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Vršenjem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dolazilo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poteškoća</w:t>
      </w:r>
      <w:r w:rsidR="0001459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1459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119/12,   116/13 -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2828A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06CE7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iznetih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najbolji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najefikasniji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prevazišle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poteškoće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059F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pristupilo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prevazilazile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polovine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Jedinstvenim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metodološkim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F18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21/10)  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428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203F0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sistematika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C3AD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3AD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modifikovana</w:t>
      </w:r>
      <w:r w:rsidR="00DC3AD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lakše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preciznije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3193" w:rsidRPr="007F474B" w:rsidRDefault="007F474B" w:rsidP="008F4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ekonomičnosti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5A5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kontrolne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C06CE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7A7A6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A7A6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7A6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="0004038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04038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novine</w:t>
      </w:r>
      <w:r w:rsidR="007F319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4038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4038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4038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F4D73" w:rsidRPr="007F474B" w:rsidRDefault="008F4D73" w:rsidP="008F4D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poveravanje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privatno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partnerstvo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F4D73" w:rsidRPr="007F474B" w:rsidRDefault="008F4D73" w:rsidP="008F4D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indirektno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osnivačkih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F4D73" w:rsidRPr="007F474B" w:rsidRDefault="00B82AF2" w:rsidP="00B82AF2">
      <w:pPr>
        <w:spacing w:after="0" w:line="240" w:lineRule="auto"/>
        <w:ind w:right="57" w:firstLine="29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-o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snivač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osnovati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256117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lokalnom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nivou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nekontrolisano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osnivanje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javnih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ostavljanje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već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osnovanog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javnog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npr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jednim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zaposlenim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ogromnim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gubicima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; </w:t>
      </w:r>
    </w:p>
    <w:p w:rsidR="008F4D73" w:rsidRPr="007F474B" w:rsidRDefault="008F4D73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koncipiran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97BF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davalo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poverio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odrazilo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uplaćivala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84179" w:rsidRPr="007F474B" w:rsidRDefault="007F474B" w:rsidP="001841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profesionalizovanja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republičkom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lokalnom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184179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4D73" w:rsidRPr="007F474B" w:rsidRDefault="008F4D73" w:rsidP="008F4D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preciziraju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cilju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njihove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dalje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profesionalizacije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radi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povećanja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personalne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kolektivne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odgovornosti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ostvare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projektovane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njihovo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prihvaćene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inicijative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borbu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korupcije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odnosile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E7A86" w:rsidRPr="007F474B" w:rsidRDefault="001E7A86" w:rsidP="001E7A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proširena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vršeno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E7A86" w:rsidRPr="007F474B" w:rsidRDefault="001E7A86" w:rsidP="001E7A8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precizirani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E7A86" w:rsidRPr="007F474B" w:rsidRDefault="001E7A86" w:rsidP="001E7A8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prošireni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EB3F7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F4D73" w:rsidRPr="007F474B" w:rsidRDefault="001E7A86" w:rsidP="001E7A86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-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precizirane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dopunjene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E7A86" w:rsidRPr="007F474B" w:rsidRDefault="001E7A86" w:rsidP="001E7A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ukinut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suvišni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kolektivni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Pr="007F474B">
        <w:rPr>
          <w:rStyle w:val="FontStyle11"/>
          <w:noProof/>
          <w:sz w:val="24"/>
          <w:szCs w:val="24"/>
          <w:lang w:val="sr-Latn-CS" w:eastAsia="sr-Cyrl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personalizuje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Navedeno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dosadašnjoj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dvodomnim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postojanjem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izvršnog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kolektivnog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dolazilo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zloupotrebe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4D73" w:rsidRPr="007F474B" w:rsidRDefault="001E7A86" w:rsidP="00EB3F7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-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roširena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srednjoročnog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4D73" w:rsidRPr="007F474B" w:rsidRDefault="001E7A86" w:rsidP="001E7A8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dopunjeni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izjasni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razrešenja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AA229F" w:rsidRPr="007F474B" w:rsidRDefault="00AA229F" w:rsidP="00AA229F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-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tvrđeno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isto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postavljeno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4D73" w:rsidRPr="007F474B" w:rsidRDefault="00AA229F" w:rsidP="00AA22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precizirane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proširene</w:t>
      </w:r>
      <w:r w:rsidR="00DA4E3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DA4E3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DA4E3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A4E3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zvanje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F4D73" w:rsidRPr="007F474B" w:rsidRDefault="00AA229F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predviđena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srednjoročnog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Povezivanjem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realnije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planirati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indikatori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sagledavanje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operativnosti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8F4D73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8F4D73" w:rsidRPr="007F474B" w:rsidRDefault="00AA229F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godišnjih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usvajanja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3F7A" w:rsidRPr="007F474B" w:rsidRDefault="00EB3F7A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pored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godišnjeg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programa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izuzetak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javna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koja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ne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finansiraju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budžeta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Republike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autonomne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pokrajine</w:t>
      </w:r>
      <w:r w:rsidR="00197BF3"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jedinice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lokalne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samouprave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uvedena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mogućnost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donošenja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donesu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trogodišnji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program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poslovanja</w:t>
      </w:r>
      <w:r w:rsidRPr="007F474B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AA229F" w:rsidRPr="007F474B" w:rsidRDefault="00AA229F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zmene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promenjenih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prekinuta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neretko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nerealnog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F4D73" w:rsidRPr="007F474B" w:rsidRDefault="00AA229F" w:rsidP="0025611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-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prekršaji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ispunjavanja</w:t>
      </w:r>
      <w:r w:rsidR="008F4D7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313A" w:rsidRPr="007F474B" w:rsidRDefault="007F474B" w:rsidP="008F4D7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</w:t>
      </w:r>
      <w:r w:rsidR="0096241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performansi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pridržavanje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dostavu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12D8" w:rsidRPr="007F474B" w:rsidRDefault="006412D8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6412D8" w:rsidRPr="007F474B" w:rsidRDefault="006412D8" w:rsidP="008F4D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412D8" w:rsidRPr="007F474B" w:rsidRDefault="000660E0" w:rsidP="008F4D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OBRAZLOŽENJE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OSNOVNIH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PRAVNIH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POJEDINAČNIH</w:t>
      </w:r>
      <w:r w:rsidR="006412D8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</w:p>
    <w:p w:rsidR="0042251D" w:rsidRPr="007F474B" w:rsidRDefault="0042251D" w:rsidP="008F4D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B3F7A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Glavom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</w:t>
      </w:r>
      <w:r w:rsidR="00B06A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Uvodne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313A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07BB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1-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07BB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Nedvosmisleno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1D143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1D143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Glavom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</w:t>
      </w:r>
      <w:r w:rsidR="00B06A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regulatorna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3291" w:rsidRPr="007F474B" w:rsidRDefault="007F474B" w:rsidP="008F4D73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197BF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82AF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zadovoljavanja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utvrđrnog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stiče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upisom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pravni</w:t>
      </w:r>
      <w:r w:rsidR="0042251D" w:rsidRPr="007F47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položaj</w:t>
      </w:r>
      <w:r w:rsidR="0042251D" w:rsidRPr="007F47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2251D" w:rsidRPr="007F47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postupak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registracije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Taksativno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nabrojani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67F0D" w:rsidRPr="007F474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</w:p>
    <w:p w:rsidR="0042251D" w:rsidRPr="007F474B" w:rsidRDefault="007F474B" w:rsidP="008F4D73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poveravanje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sprečile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1A3291" w:rsidRPr="007F474B" w:rsidRDefault="007F474B" w:rsidP="008F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1A32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A3291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AB5478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AB5478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1D143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osnovati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7573D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celokupnom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svojom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imovinom</w:t>
      </w:r>
      <w:r w:rsidR="00B14A6A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B14A6A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13)</w:t>
      </w:r>
      <w:r w:rsidR="0042251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9A3E05" w:rsidRPr="007F474B" w:rsidRDefault="007F474B" w:rsidP="00D8781B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kontinuitetu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osnovati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svega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javnih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AB5478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AB5478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ostavljanje</w:t>
      </w:r>
      <w:r w:rsidR="00AB5478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postojećih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jednim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zaposlenim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ogromnim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gubicima</w:t>
      </w:r>
      <w:r w:rsidR="00B14A6A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B14A6A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14)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42251D" w:rsidRPr="007F474B" w:rsidRDefault="007F474B" w:rsidP="009A3E05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</w:t>
      </w:r>
      <w:r w:rsidR="007865AE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15.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7865AE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53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uređeni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njihovog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imenovanja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razrešenja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opis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Umesto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dosadašnjeg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jednodomnog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dvodomnog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predviđa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jednodomno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upravljanje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javnom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preduzeću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tom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703C3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jedan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reda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zaposlenih</w:t>
      </w:r>
      <w:r w:rsidR="00703C34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42251D"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pokrajina</w:t>
      </w:r>
      <w:r w:rsidR="00197BF3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367F0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367F0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profesionalizacije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menadžmenta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redsednik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članovi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nadzornog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odbora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dužni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dodatno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stručno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usavršavaju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oblasti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korporativnog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upravljanja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Vlada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će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utvrditi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dodatno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stručno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usavršavanje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članova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nadzornog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odbora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Takođe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utvrđeno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propisane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nadzornog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odbora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moraju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ispunjavati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380F91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osnivača</w:t>
      </w:r>
      <w:r w:rsidR="00380F91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tač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9A3E05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42251D" w:rsidRPr="007F474B" w:rsidRDefault="0042251D" w:rsidP="008F4D7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21.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predviđeni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razlozi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razrešavanje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članova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nadzornog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odbora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ukoliko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preduzeće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dostavi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godišnji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trogodišnji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program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poslovanja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rokovima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propisanim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9A3E05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703C34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nadzorni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propusti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preduzme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nadležnim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organima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sumnje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nesavesnim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ponašanjem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nesavesnim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ponašanjem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toku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trajanja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osuđen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uslovnu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bezuslovnu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kaznu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42251D" w:rsidP="008F4D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56117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</w:t>
      </w:r>
      <w:r w:rsidR="00703C34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pokrajina</w:t>
      </w:r>
      <w:r w:rsidR="00197BF3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statutom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97BF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sprovedenog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precizirani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ispunjavati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="00266EC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isano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ispunjavati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B547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197BF3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kolektivni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personalizuje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3C3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703C3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9A3E05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bira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12DA2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bira</w:t>
      </w:r>
      <w:r w:rsidR="009A3E05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predviđenih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sedam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izvršnih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2251D" w:rsidRPr="007F474B" w:rsidRDefault="007865AE" w:rsidP="009A3E0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30.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regulisan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narodni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poslanici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poslanici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postavljena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stručna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menadžmenta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DD6E6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DD6E6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bira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oglašavanje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glasilu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6E6F" w:rsidRPr="007F474B" w:rsidRDefault="0042251D" w:rsidP="008F4D73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nastavku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49.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razrešenje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nadzorni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izjasni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razlozima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razrešenje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izjasni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razrešenje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osnivaču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odgovarajućeg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D6E6F" w:rsidRPr="007F474B" w:rsidRDefault="007865AE" w:rsidP="008F4D73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vršilac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ispunjavati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imenovanje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imenuje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vršilac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dužnosti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A51E9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duži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CA7049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postavljeno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vršioca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dužnosti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DD6E6F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A425C" w:rsidRPr="007F474B" w:rsidRDefault="007F474B" w:rsidP="00256117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smeju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sukobu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sukoba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DD6E6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računovodstvenih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rizicima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ispituje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računovodstvenih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ocenjuje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ispituje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konsolidovanih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kandidata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joj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6E6F" w:rsidRPr="007F474B" w:rsidRDefault="007F474B" w:rsidP="00256117">
      <w:pPr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Ujedno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ezavisni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nadzornog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ispunjavati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predviđene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revizor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znanja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iskustvo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računovodstva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2251D" w:rsidRPr="007F474B" w:rsidRDefault="007F474B" w:rsidP="008F4D73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razrađena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7865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srednjoročnog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trogodišnji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trogodišnjeg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7134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DB510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promenjenih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utrošilo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prevazilazi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usvojenog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C65B3" w:rsidRPr="007F474B" w:rsidRDefault="0042251D" w:rsidP="008F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tromesečne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izveštaje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godišnjeg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trogodišnjeg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tromesečja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E7D20" w:rsidRPr="007F474B" w:rsidRDefault="005263CB" w:rsidP="008F4D73">
      <w:pPr>
        <w:pStyle w:val="ListParagraph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veće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transparentnosti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svojoj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radne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biografije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članova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nadzornog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odbora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radne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biografije</w:t>
      </w:r>
      <w:r w:rsidR="00367F0D" w:rsidRPr="007F47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izvršnih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organizacionu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strukturu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134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trogodišnji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konkurenciju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367F0D" w:rsidRPr="007F474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tromesečne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godišnjeg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trogodišnjeg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mišljenjem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revizora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67F0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javnost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elemente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objavljivati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naročitog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javnost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35DF8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 w:rsid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A35DF8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73</w:t>
      </w:r>
      <w:r w:rsidR="0042251D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.).</w:t>
      </w:r>
    </w:p>
    <w:p w:rsidR="002D26F0" w:rsidRPr="007F474B" w:rsidRDefault="007F474B" w:rsidP="008F4D73">
      <w:pPr>
        <w:pStyle w:val="ListParagraph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A35DF8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7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5AE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73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definisano</w:t>
      </w:r>
      <w:r w:rsidR="00BE7D2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ostvarivanje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štrajk</w:t>
      </w:r>
      <w:r w:rsidR="007865AE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</w:t>
      </w:r>
      <w:r w:rsidR="007865AE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7865AE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članom</w:t>
      </w:r>
      <w:r w:rsidR="007865AE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75</w:t>
      </w:r>
      <w:r w:rsidR="007A425C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uređeno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pitanje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privrednih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društva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strateškog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značaja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Republiku</w:t>
      </w:r>
      <w:r w:rsidR="00BE7D2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će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vlasničkih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BE7D2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D26F0" w:rsidRPr="007F474B" w:rsidRDefault="007F474B" w:rsidP="008F4D73">
      <w:pPr>
        <w:pStyle w:val="ListParagraph"/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B06A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Prekršaj</w:t>
      </w:r>
      <w:r w:rsidR="00A35DF8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odgovornog</w:t>
      </w:r>
      <w:r w:rsidR="00A35DF8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lica</w:t>
      </w:r>
      <w:r w:rsidR="00A35DF8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A35DF8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</w:t>
      </w:r>
      <w:r w:rsidR="00287E2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8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odgovornog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D26F0" w:rsidRPr="007F474B" w:rsidRDefault="007F474B" w:rsidP="008F4D73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IV</w:t>
      </w:r>
      <w:r w:rsidR="00B06AAE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87E2B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79</w:t>
      </w:r>
      <w:r w:rsidR="00A35DF8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-8</w:t>
      </w:r>
      <w:r w:rsidR="00287E2B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2D26F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A425C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2251D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snivači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uskladiti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osnivačka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2D26F0" w:rsidRPr="007F474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usaglase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osnivačkim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7A425C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usklađivanja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osnivačkih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akata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D122D" w:rsidRPr="007F474B" w:rsidRDefault="007F474B" w:rsidP="00DD122D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NewRomanPS-BoldMT" w:hAnsi="TimesNewRomanPS-BoldMT"/>
          <w:noProof/>
          <w:sz w:val="24"/>
          <w:szCs w:val="24"/>
          <w:lang w:val="sr-Latn-CS"/>
        </w:rPr>
        <w:t>Ugovori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poveravanju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obavljanja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delatnosti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od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op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š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teg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interesa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zaklju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č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eni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 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u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skladu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>116/13-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autentično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44/14-</w:t>
      </w:r>
      <w:r w:rsidR="000660E0" w:rsidRPr="007F474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2911FF" w:rsidRPr="007F474B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ostaju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na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snazi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,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aneksi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> 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ovih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ugovora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ć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e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se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zaklju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č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ivati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na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na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č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in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pod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uslovima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pod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kojima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je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zaklju</w:t>
      </w:r>
      <w:r>
        <w:rPr>
          <w:rFonts w:ascii="TimesNewRomanPS-BoldMT" w:hAnsi="TimesNewRomanPS-BoldMT" w:hint="eastAsia"/>
          <w:noProof/>
          <w:sz w:val="24"/>
          <w:szCs w:val="24"/>
          <w:lang w:val="sr-Latn-CS"/>
        </w:rPr>
        <w:t>č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en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osnovni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 xml:space="preserve"> </w:t>
      </w:r>
      <w:r>
        <w:rPr>
          <w:rFonts w:ascii="TimesNewRomanPS-BoldMT" w:hAnsi="TimesNewRomanPS-BoldMT"/>
          <w:noProof/>
          <w:sz w:val="24"/>
          <w:szCs w:val="24"/>
          <w:lang w:val="sr-Latn-CS"/>
        </w:rPr>
        <w:t>ugovor</w:t>
      </w:r>
      <w:r w:rsidR="002911FF" w:rsidRPr="007F474B">
        <w:rPr>
          <w:rFonts w:ascii="TimesNewRomanPS-BoldMT" w:hAnsi="TimesNewRomanPS-BoldMT"/>
          <w:noProof/>
          <w:sz w:val="24"/>
          <w:szCs w:val="24"/>
          <w:lang w:val="sr-Latn-CS"/>
        </w:rPr>
        <w:t>.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DD122D" w:rsidRPr="007F474B" w:rsidRDefault="007F474B" w:rsidP="00DD122D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Predsednik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članovi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razrešavaju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isteka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imenovani</w:t>
      </w:r>
      <w:r w:rsidR="00DD122D" w:rsidRPr="007F474B">
        <w:rPr>
          <w:rFonts w:ascii="Times New Roman" w:eastAsia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ukoliko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nadzorni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donese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akte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59.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stupanja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DD122D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2911FF" w:rsidRPr="007F474B" w:rsidRDefault="002911FF" w:rsidP="008F4D73">
      <w:pPr>
        <w:spacing w:after="0" w:line="240" w:lineRule="auto"/>
        <w:ind w:left="57" w:right="57" w:firstLine="663"/>
        <w:jc w:val="both"/>
        <w:rPr>
          <w:rFonts w:ascii="TimesNewRomanPS-BoldMT" w:hAnsi="TimesNewRomanPS-BoldMT"/>
          <w:noProof/>
          <w:sz w:val="24"/>
          <w:szCs w:val="24"/>
          <w:lang w:val="sr-Latn-CS"/>
        </w:rPr>
      </w:pPr>
    </w:p>
    <w:p w:rsidR="002D26F0" w:rsidRPr="007F474B" w:rsidRDefault="007F474B" w:rsidP="008F4D73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Članovi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nadzornih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odbora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predstavnici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osnivača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skupštini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društva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kapitala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ispunjavaju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18.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razrešiće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novi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imenovati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najkasnije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šest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meseci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2D26F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2D26F0" w:rsidRPr="007F474B" w:rsidRDefault="002D26F0" w:rsidP="008F4D7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javnim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društvima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kapitala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direktor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nije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izabran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javnom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konkursu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javnim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116/13-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autentično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tumačenje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44/14-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mora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raspisati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konkurs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5263CB" w:rsidRPr="007F474B" w:rsidRDefault="002D26F0" w:rsidP="008F4D7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Takođe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predviđeno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konkursi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raspisani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moraju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biti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okončani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najkasnije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konkursi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raspisani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nisu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završeni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okončaće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javnim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116/13-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autentično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tumačenje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44/14-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).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Direktori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izabrani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javnom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konkursu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javnim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116/13-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autentično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tumačenje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44/14-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),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nastavljaju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radom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5263CB" w:rsidRPr="007F474B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isteka</w:t>
      </w:r>
      <w:r w:rsidR="005263CB" w:rsidRP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mandata</w:t>
      </w:r>
      <w:r w:rsidR="005263CB" w:rsidRPr="007F4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7A425C" w:rsidRPr="007F474B" w:rsidRDefault="007F474B" w:rsidP="007A425C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Izvršni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odbori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imenovani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skladu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odredbama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javnim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preduzećima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Službeni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glasnik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”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br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116/13-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autentično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tumačenje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44/14-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dr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nastavljaju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radom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usklađivanja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osnivačkih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akata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7A425C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="007A425C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7A425C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7A425C"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7A425C" w:rsidRPr="007F474B" w:rsidRDefault="007A425C" w:rsidP="007A425C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ab/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Komisije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reviziju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imenovane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skladu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odredbama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javnim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preduzećima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(„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Službeni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glasnik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RS</w:t>
      </w:r>
      <w:r w:rsidR="000660E0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”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br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 119/12,</w:t>
      </w:r>
      <w:r w:rsidR="000660E0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116/13-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autentično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tumačenje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44/14-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dr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)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nastavljaju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radom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usklađivanja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osnivačkih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akata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Pr="007F474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BE7D20" w:rsidRPr="007F474B" w:rsidRDefault="00287E2B" w:rsidP="007A425C">
      <w:pPr>
        <w:spacing w:after="0" w:line="240" w:lineRule="auto"/>
        <w:ind w:left="57" w:right="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ab/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Takođe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 84</w:t>
      </w:r>
      <w:r w:rsidR="00A35DF8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-8</w:t>
      </w:r>
      <w:r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6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uređuje</w:t>
      </w:r>
      <w:r w:rsidR="00DD122D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se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prestanak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važenja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</w:t>
      </w:r>
      <w:r w:rsidR="007865AE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javnim</w:t>
      </w:r>
      <w:r w:rsidR="007865AE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preduzećima</w:t>
      </w:r>
      <w:r w:rsidR="007865AE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kao</w:t>
      </w:r>
      <w:r w:rsidR="00DD122D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DD122D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pojedinih</w:t>
      </w:r>
      <w:r w:rsidR="00DD122D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podzakonskih</w:t>
      </w:r>
      <w:r w:rsidR="00DD122D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akata</w:t>
      </w:r>
      <w:r w:rsidR="007865AE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865AE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stupanje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snagu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ovog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  <w:r w:rsidR="007A425C" w:rsidRPr="007F474B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ab/>
      </w:r>
    </w:p>
    <w:p w:rsidR="00DA0C89" w:rsidRPr="007F474B" w:rsidRDefault="00DA0C89" w:rsidP="008F4D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660E0" w:rsidRPr="007F474B" w:rsidRDefault="000660E0" w:rsidP="000660E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IV.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0660E0" w:rsidRPr="007F474B" w:rsidRDefault="000660E0" w:rsidP="000660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60E0" w:rsidRPr="007F474B" w:rsidRDefault="007F474B" w:rsidP="000660E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660E0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60E0" w:rsidRPr="007F474B" w:rsidRDefault="000660E0" w:rsidP="008F4D7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A5E74" w:rsidRPr="007F474B" w:rsidRDefault="000660E0" w:rsidP="008F4D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.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HITNOM</w:t>
      </w:r>
      <w:r w:rsidR="00BA5E74" w:rsidRP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F474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POSTUPKU</w:t>
      </w:r>
    </w:p>
    <w:p w:rsidR="00BA5E74" w:rsidRPr="007F474B" w:rsidRDefault="00BA5E74" w:rsidP="008F4D7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E3591" w:rsidRPr="007F474B" w:rsidRDefault="007F474B" w:rsidP="008F4D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hitnom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Poslovnika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Narodne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skupštine</w:t>
      </w:r>
      <w:r w:rsidR="00BA5E74" w:rsidRPr="007F474B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prečišćeni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BA5E74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0B15D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iznetih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0B15D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B15DF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8E3591" w:rsidRPr="007F474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E3591" w:rsidRPr="007F474B" w:rsidRDefault="008E3591" w:rsidP="008F4D7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E3591" w:rsidRPr="007F474B" w:rsidRDefault="008E3591" w:rsidP="008F4D7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8E3591" w:rsidRPr="007F474B" w:rsidSect="0006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C2" w:rsidRDefault="004268C2">
      <w:pPr>
        <w:spacing w:after="0" w:line="240" w:lineRule="auto"/>
      </w:pPr>
      <w:r>
        <w:separator/>
      </w:r>
    </w:p>
  </w:endnote>
  <w:endnote w:type="continuationSeparator" w:id="0">
    <w:p w:rsidR="004268C2" w:rsidRDefault="004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B" w:rsidRDefault="007F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301350651"/>
      <w:docPartObj>
        <w:docPartGallery w:val="Page Numbers (Bottom of Page)"/>
        <w:docPartUnique/>
      </w:docPartObj>
    </w:sdtPr>
    <w:sdtEndPr/>
    <w:sdtContent>
      <w:p w:rsidR="008A08E1" w:rsidRPr="007F474B" w:rsidRDefault="0001459E">
        <w:pPr>
          <w:pStyle w:val="Footer"/>
          <w:jc w:val="right"/>
          <w:rPr>
            <w:noProof/>
            <w:lang w:val="sr-Latn-CS"/>
          </w:rPr>
        </w:pPr>
        <w:r w:rsidRPr="007F474B">
          <w:rPr>
            <w:noProof/>
            <w:lang w:val="sr-Latn-CS"/>
          </w:rPr>
          <w:fldChar w:fldCharType="begin"/>
        </w:r>
        <w:r w:rsidRPr="007F474B">
          <w:rPr>
            <w:noProof/>
            <w:lang w:val="sr-Latn-CS"/>
          </w:rPr>
          <w:instrText xml:space="preserve"> PAGE   \* MERGEFORMAT </w:instrText>
        </w:r>
        <w:r w:rsidRPr="007F474B">
          <w:rPr>
            <w:noProof/>
            <w:lang w:val="sr-Latn-CS"/>
          </w:rPr>
          <w:fldChar w:fldCharType="separate"/>
        </w:r>
        <w:r w:rsidR="007F474B">
          <w:rPr>
            <w:noProof/>
            <w:lang w:val="sr-Latn-CS"/>
          </w:rPr>
          <w:t>4</w:t>
        </w:r>
        <w:r w:rsidRPr="007F474B">
          <w:rPr>
            <w:noProof/>
            <w:lang w:val="sr-Latn-CS"/>
          </w:rPr>
          <w:fldChar w:fldCharType="end"/>
        </w:r>
      </w:p>
    </w:sdtContent>
  </w:sdt>
  <w:p w:rsidR="00165799" w:rsidRPr="007F474B" w:rsidRDefault="004268C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B" w:rsidRDefault="007F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C2" w:rsidRDefault="004268C2">
      <w:pPr>
        <w:spacing w:after="0" w:line="240" w:lineRule="auto"/>
      </w:pPr>
      <w:r>
        <w:separator/>
      </w:r>
    </w:p>
  </w:footnote>
  <w:footnote w:type="continuationSeparator" w:id="0">
    <w:p w:rsidR="004268C2" w:rsidRDefault="0042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B" w:rsidRDefault="007F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B" w:rsidRDefault="007F4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B" w:rsidRDefault="007F4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4A9"/>
    <w:multiLevelType w:val="hybridMultilevel"/>
    <w:tmpl w:val="F70ADB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D8E07D2"/>
    <w:multiLevelType w:val="multilevel"/>
    <w:tmpl w:val="CBA2B3A8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 w15:restartNumberingAfterBreak="0">
    <w:nsid w:val="2310510B"/>
    <w:multiLevelType w:val="hybridMultilevel"/>
    <w:tmpl w:val="71D21AC2"/>
    <w:lvl w:ilvl="0" w:tplc="115A2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30E6"/>
    <w:multiLevelType w:val="hybridMultilevel"/>
    <w:tmpl w:val="99723834"/>
    <w:lvl w:ilvl="0" w:tplc="661A59F6">
      <w:start w:val="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8"/>
    <w:rsid w:val="000026D9"/>
    <w:rsid w:val="0001459E"/>
    <w:rsid w:val="00040384"/>
    <w:rsid w:val="000660E0"/>
    <w:rsid w:val="000B15DF"/>
    <w:rsid w:val="000B4A65"/>
    <w:rsid w:val="0011730F"/>
    <w:rsid w:val="0015676B"/>
    <w:rsid w:val="00184179"/>
    <w:rsid w:val="0018538E"/>
    <w:rsid w:val="00197BF3"/>
    <w:rsid w:val="001A3291"/>
    <w:rsid w:val="001A67A3"/>
    <w:rsid w:val="001D1432"/>
    <w:rsid w:val="001E7A86"/>
    <w:rsid w:val="00200226"/>
    <w:rsid w:val="00200539"/>
    <w:rsid w:val="00203F07"/>
    <w:rsid w:val="00217762"/>
    <w:rsid w:val="00256117"/>
    <w:rsid w:val="0026057F"/>
    <w:rsid w:val="00266EC8"/>
    <w:rsid w:val="002828A4"/>
    <w:rsid w:val="00287E2B"/>
    <w:rsid w:val="002911FF"/>
    <w:rsid w:val="002B4A3D"/>
    <w:rsid w:val="002C041D"/>
    <w:rsid w:val="002D26F0"/>
    <w:rsid w:val="002E11DA"/>
    <w:rsid w:val="003026AC"/>
    <w:rsid w:val="0031428F"/>
    <w:rsid w:val="00367F0D"/>
    <w:rsid w:val="00380F91"/>
    <w:rsid w:val="003A5A5A"/>
    <w:rsid w:val="003E62EA"/>
    <w:rsid w:val="00405D0F"/>
    <w:rsid w:val="00407CEB"/>
    <w:rsid w:val="0042251D"/>
    <w:rsid w:val="004268C2"/>
    <w:rsid w:val="00462571"/>
    <w:rsid w:val="004821B9"/>
    <w:rsid w:val="004D0D45"/>
    <w:rsid w:val="004E6156"/>
    <w:rsid w:val="005263CB"/>
    <w:rsid w:val="005F1873"/>
    <w:rsid w:val="00623B00"/>
    <w:rsid w:val="006412D8"/>
    <w:rsid w:val="00643303"/>
    <w:rsid w:val="00654953"/>
    <w:rsid w:val="006C79AD"/>
    <w:rsid w:val="006F1005"/>
    <w:rsid w:val="006F69C7"/>
    <w:rsid w:val="00703C34"/>
    <w:rsid w:val="007059FA"/>
    <w:rsid w:val="007134AE"/>
    <w:rsid w:val="007573D5"/>
    <w:rsid w:val="007865AE"/>
    <w:rsid w:val="007A425C"/>
    <w:rsid w:val="007A7A6A"/>
    <w:rsid w:val="007B313A"/>
    <w:rsid w:val="007E4DE4"/>
    <w:rsid w:val="007F3193"/>
    <w:rsid w:val="007F474B"/>
    <w:rsid w:val="008458A6"/>
    <w:rsid w:val="00853447"/>
    <w:rsid w:val="00872139"/>
    <w:rsid w:val="008D1D36"/>
    <w:rsid w:val="008E3591"/>
    <w:rsid w:val="008E5982"/>
    <w:rsid w:val="008F4D73"/>
    <w:rsid w:val="0093197D"/>
    <w:rsid w:val="00962413"/>
    <w:rsid w:val="009A3E05"/>
    <w:rsid w:val="009C056E"/>
    <w:rsid w:val="00A0430B"/>
    <w:rsid w:val="00A33D47"/>
    <w:rsid w:val="00A35DF8"/>
    <w:rsid w:val="00A51E99"/>
    <w:rsid w:val="00AA229F"/>
    <w:rsid w:val="00AB5478"/>
    <w:rsid w:val="00AC65B3"/>
    <w:rsid w:val="00AE6EA7"/>
    <w:rsid w:val="00B06AAE"/>
    <w:rsid w:val="00B07BBF"/>
    <w:rsid w:val="00B14A6A"/>
    <w:rsid w:val="00B15EFD"/>
    <w:rsid w:val="00B25868"/>
    <w:rsid w:val="00B44550"/>
    <w:rsid w:val="00B82AF2"/>
    <w:rsid w:val="00B93836"/>
    <w:rsid w:val="00BA5E74"/>
    <w:rsid w:val="00BE7D20"/>
    <w:rsid w:val="00C0590C"/>
    <w:rsid w:val="00C06CE7"/>
    <w:rsid w:val="00C228D0"/>
    <w:rsid w:val="00CA7049"/>
    <w:rsid w:val="00CB6DDC"/>
    <w:rsid w:val="00CD293E"/>
    <w:rsid w:val="00CE1411"/>
    <w:rsid w:val="00D10BBD"/>
    <w:rsid w:val="00D12DA2"/>
    <w:rsid w:val="00D8781B"/>
    <w:rsid w:val="00DA0C89"/>
    <w:rsid w:val="00DA4E37"/>
    <w:rsid w:val="00DB5104"/>
    <w:rsid w:val="00DC3AD4"/>
    <w:rsid w:val="00DC4F6E"/>
    <w:rsid w:val="00DD122D"/>
    <w:rsid w:val="00DD6E6F"/>
    <w:rsid w:val="00DE50F9"/>
    <w:rsid w:val="00DF6EEE"/>
    <w:rsid w:val="00E10F69"/>
    <w:rsid w:val="00E51D3E"/>
    <w:rsid w:val="00E7714C"/>
    <w:rsid w:val="00EB3F7A"/>
    <w:rsid w:val="00EE1608"/>
    <w:rsid w:val="00F35C9A"/>
    <w:rsid w:val="00F45497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8800F-6EFF-4039-875A-3EED1C3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D8"/>
  </w:style>
  <w:style w:type="paragraph" w:styleId="ListParagraph">
    <w:name w:val="List Paragraph"/>
    <w:basedOn w:val="Normal"/>
    <w:uiPriority w:val="34"/>
    <w:qFormat/>
    <w:rsid w:val="006412D8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6412D8"/>
    <w:pPr>
      <w:widowControl w:val="0"/>
      <w:autoSpaceDE w:val="0"/>
      <w:autoSpaceDN w:val="0"/>
      <w:adjustRightInd w:val="0"/>
      <w:spacing w:after="0" w:line="277" w:lineRule="exact"/>
      <w:ind w:firstLine="274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"/>
    <w:uiPriority w:val="99"/>
    <w:rsid w:val="006412D8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6412D8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DefaultParagraphFont"/>
    <w:uiPriority w:val="99"/>
    <w:rsid w:val="006412D8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1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D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6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Bulatovic</dc:creator>
  <cp:lastModifiedBy>Bojan Grgic</cp:lastModifiedBy>
  <cp:revision>7</cp:revision>
  <cp:lastPrinted>2016-02-03T08:32:00Z</cp:lastPrinted>
  <dcterms:created xsi:type="dcterms:W3CDTF">2016-02-05T08:07:00Z</dcterms:created>
  <dcterms:modified xsi:type="dcterms:W3CDTF">2016-02-08T15:17:00Z</dcterms:modified>
</cp:coreProperties>
</file>